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41DE" w14:textId="0454F9AA" w:rsidR="006E3DF4" w:rsidRPr="00084882" w:rsidRDefault="00453A25" w:rsidP="000004D4">
      <w:pPr>
        <w:pStyle w:val="FirstParagraph"/>
        <w:jc w:val="center"/>
        <w:rPr>
          <w:lang w:val="pl-PL"/>
        </w:rPr>
      </w:pPr>
      <w:r w:rsidRPr="00084882">
        <w:rPr>
          <w:b/>
          <w:bCs/>
          <w:lang w:val="pl-PL"/>
        </w:rPr>
        <w:t>PILNA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NOTATKA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BEZPIECZEŃSTWA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DOTYCZĄCA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WYROBU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MEDYCZNEGO</w:t>
      </w:r>
      <w:r w:rsidRPr="00084882">
        <w:rPr>
          <w:lang w:val="pl-PL"/>
        </w:rPr>
        <w:br/>
      </w:r>
      <w:r w:rsidRPr="00084882">
        <w:rPr>
          <w:b/>
          <w:bCs/>
          <w:lang w:val="pl-PL"/>
        </w:rPr>
        <w:t>BLEPHADEMODEX</w:t>
      </w:r>
      <w:r w:rsidR="00657A35">
        <w:rPr>
          <w:b/>
          <w:bCs/>
          <w:lang w:val="pl-PL"/>
        </w:rPr>
        <w:t xml:space="preserve"> </w:t>
      </w:r>
    </w:p>
    <w:p w14:paraId="1EDFCCB9" w14:textId="71BD8A28" w:rsidR="006E3DF4" w:rsidRPr="00084882" w:rsidRDefault="00453A25">
      <w:pPr>
        <w:pStyle w:val="Tekstpodstawowy"/>
        <w:rPr>
          <w:lang w:val="pl-PL"/>
        </w:rPr>
      </w:pPr>
      <w:r w:rsidRPr="00084882">
        <w:rPr>
          <w:b/>
          <w:bCs/>
          <w:lang w:val="pl-PL"/>
        </w:rPr>
        <w:t>Data:</w:t>
      </w:r>
      <w:r w:rsidR="00084882" w:rsidRPr="00084882">
        <w:rPr>
          <w:lang w:val="pl-PL"/>
        </w:rPr>
        <w:t xml:space="preserve"> </w:t>
      </w:r>
      <w:r w:rsidR="000E0186" w:rsidRPr="000E0186">
        <w:rPr>
          <w:lang w:val="pl-PL"/>
        </w:rPr>
        <w:t>2</w:t>
      </w:r>
      <w:r w:rsidR="00465499">
        <w:rPr>
          <w:lang w:val="pl-PL"/>
        </w:rPr>
        <w:t>3</w:t>
      </w:r>
      <w:r w:rsidR="000E0186" w:rsidRPr="000E0186">
        <w:rPr>
          <w:lang w:val="pl-PL"/>
        </w:rPr>
        <w:t>.07.2026</w:t>
      </w:r>
      <w:r w:rsidR="00084882" w:rsidRPr="000E0186">
        <w:rPr>
          <w:lang w:val="pl-PL"/>
        </w:rPr>
        <w:t xml:space="preserve"> </w:t>
      </w:r>
      <w:r w:rsidRPr="000E0186">
        <w:rPr>
          <w:lang w:val="pl-PL"/>
        </w:rPr>
        <w:t>r.</w:t>
      </w:r>
    </w:p>
    <w:p w14:paraId="0ABD9E57" w14:textId="27ADA1A8" w:rsidR="006E3DF4" w:rsidRPr="00084882" w:rsidRDefault="00453A25">
      <w:pPr>
        <w:pStyle w:val="Tekstpodstawowy"/>
        <w:rPr>
          <w:lang w:val="pl-PL"/>
        </w:rPr>
      </w:pPr>
      <w:r w:rsidRPr="00084882">
        <w:rPr>
          <w:b/>
          <w:bCs/>
          <w:lang w:val="pl-PL"/>
        </w:rPr>
        <w:t>Do: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fachowych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pracowników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ochrony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zdrowia: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farmaceutów,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lekarzy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optyków</w:t>
      </w:r>
    </w:p>
    <w:p w14:paraId="27702DDF" w14:textId="7DFF5E66" w:rsidR="006E3DF4" w:rsidRPr="00084882" w:rsidRDefault="00453A25">
      <w:pPr>
        <w:pStyle w:val="Tekstpodstawowy"/>
        <w:rPr>
          <w:lang w:val="pl-PL"/>
        </w:rPr>
      </w:pPr>
      <w:r w:rsidRPr="00084882">
        <w:rPr>
          <w:b/>
          <w:bCs/>
          <w:lang w:val="pl-PL"/>
        </w:rPr>
        <w:t>Wyrób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objęty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notatką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698"/>
        <w:gridCol w:w="4698"/>
      </w:tblGrid>
      <w:tr w:rsidR="006E3DF4" w:rsidRPr="00084882" w14:paraId="78027035" w14:textId="77777777" w:rsidTr="00000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11" w:type="dxa"/>
            <w:tcBorders>
              <w:bottom w:val="none" w:sz="0" w:space="0" w:color="auto"/>
            </w:tcBorders>
          </w:tcPr>
          <w:p w14:paraId="159C9BAE" w14:textId="77777777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Informacja</w:t>
            </w:r>
          </w:p>
        </w:tc>
        <w:tc>
          <w:tcPr>
            <w:tcW w:w="4811" w:type="dxa"/>
            <w:tcBorders>
              <w:bottom w:val="none" w:sz="0" w:space="0" w:color="auto"/>
            </w:tcBorders>
          </w:tcPr>
          <w:p w14:paraId="340D299E" w14:textId="77777777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Dane</w:t>
            </w:r>
          </w:p>
        </w:tc>
      </w:tr>
      <w:tr w:rsidR="006E3DF4" w:rsidRPr="00084882" w14:paraId="53DF7B68" w14:textId="77777777" w:rsidTr="000004D4">
        <w:tc>
          <w:tcPr>
            <w:tcW w:w="4811" w:type="dxa"/>
          </w:tcPr>
          <w:p w14:paraId="10978AFB" w14:textId="3F0E893E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Nazwa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wyrobu</w:t>
            </w:r>
          </w:p>
        </w:tc>
        <w:tc>
          <w:tcPr>
            <w:tcW w:w="4811" w:type="dxa"/>
          </w:tcPr>
          <w:p w14:paraId="20BB7E0D" w14:textId="77777777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BLEPHADEMODEX</w:t>
            </w:r>
          </w:p>
        </w:tc>
      </w:tr>
      <w:tr w:rsidR="006E3DF4" w:rsidRPr="00C2120C" w14:paraId="359EC9C2" w14:textId="77777777" w:rsidTr="000004D4">
        <w:tc>
          <w:tcPr>
            <w:tcW w:w="4811" w:type="dxa"/>
          </w:tcPr>
          <w:p w14:paraId="3F8E37F2" w14:textId="2DBF20F8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Typ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wyrobu</w:t>
            </w:r>
          </w:p>
        </w:tc>
        <w:tc>
          <w:tcPr>
            <w:tcW w:w="4811" w:type="dxa"/>
          </w:tcPr>
          <w:p w14:paraId="4E051FB9" w14:textId="0C78505D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Sterylna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chusteczka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nasączona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płynem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do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codziennej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higieny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powiek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w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przypadku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zakażenia</w:t>
            </w:r>
            <w:r w:rsidR="00084882" w:rsidRPr="00084882">
              <w:rPr>
                <w:lang w:val="pl-PL"/>
              </w:rPr>
              <w:t xml:space="preserve"> </w:t>
            </w:r>
            <w:proofErr w:type="spellStart"/>
            <w:r w:rsidRPr="00084882">
              <w:rPr>
                <w:i/>
                <w:iCs/>
                <w:lang w:val="pl-PL"/>
              </w:rPr>
              <w:t>Demodex</w:t>
            </w:r>
            <w:proofErr w:type="spellEnd"/>
          </w:p>
        </w:tc>
      </w:tr>
      <w:tr w:rsidR="006E3DF4" w:rsidRPr="00084882" w14:paraId="58816894" w14:textId="77777777" w:rsidTr="000004D4">
        <w:tc>
          <w:tcPr>
            <w:tcW w:w="4811" w:type="dxa"/>
          </w:tcPr>
          <w:p w14:paraId="27AEF13E" w14:textId="1CF9B674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Identyfikator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wyrobu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(UDI-DI)</w:t>
            </w:r>
          </w:p>
        </w:tc>
        <w:tc>
          <w:tcPr>
            <w:tcW w:w="4811" w:type="dxa"/>
          </w:tcPr>
          <w:p w14:paraId="7D69A239" w14:textId="77777777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3662042006180T3</w:t>
            </w:r>
          </w:p>
        </w:tc>
      </w:tr>
      <w:tr w:rsidR="006E3DF4" w:rsidRPr="00084882" w14:paraId="6130963C" w14:textId="77777777" w:rsidTr="000004D4">
        <w:tc>
          <w:tcPr>
            <w:tcW w:w="4811" w:type="dxa"/>
          </w:tcPr>
          <w:p w14:paraId="7795E9FA" w14:textId="7E7D309D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Model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/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numer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katalogowy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/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numer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części</w:t>
            </w:r>
          </w:p>
        </w:tc>
        <w:tc>
          <w:tcPr>
            <w:tcW w:w="4811" w:type="dxa"/>
          </w:tcPr>
          <w:p w14:paraId="4D3E1175" w14:textId="77777777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T1172</w:t>
            </w:r>
          </w:p>
        </w:tc>
      </w:tr>
      <w:tr w:rsidR="006E3DF4" w:rsidRPr="00084882" w14:paraId="21119AFA" w14:textId="77777777" w:rsidTr="000004D4">
        <w:tc>
          <w:tcPr>
            <w:tcW w:w="4811" w:type="dxa"/>
          </w:tcPr>
          <w:p w14:paraId="200068BF" w14:textId="7748A4E3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Zakres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numerów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serii</w:t>
            </w:r>
          </w:p>
        </w:tc>
        <w:tc>
          <w:tcPr>
            <w:tcW w:w="4811" w:type="dxa"/>
          </w:tcPr>
          <w:p w14:paraId="4ABF1EE9" w14:textId="19155F49" w:rsidR="006E3DF4" w:rsidRPr="00084882" w:rsidRDefault="00453A25">
            <w:pPr>
              <w:pStyle w:val="Compact"/>
              <w:rPr>
                <w:lang w:val="pl-PL"/>
              </w:rPr>
            </w:pPr>
            <w:r w:rsidRPr="00084882">
              <w:rPr>
                <w:lang w:val="pl-PL"/>
              </w:rPr>
              <w:t>Nie</w:t>
            </w:r>
            <w:r w:rsidR="00084882" w:rsidRPr="00084882">
              <w:rPr>
                <w:lang w:val="pl-PL"/>
              </w:rPr>
              <w:t xml:space="preserve"> </w:t>
            </w:r>
            <w:r w:rsidRPr="00084882">
              <w:rPr>
                <w:lang w:val="pl-PL"/>
              </w:rPr>
              <w:t>dotyczy</w:t>
            </w:r>
          </w:p>
        </w:tc>
      </w:tr>
      <w:tr w:rsidR="006E3DF4" w:rsidRPr="00084882" w14:paraId="1DB60E62" w14:textId="77777777" w:rsidTr="000004D4">
        <w:tc>
          <w:tcPr>
            <w:tcW w:w="4811" w:type="dxa"/>
          </w:tcPr>
          <w:p w14:paraId="0CCA3C8E" w14:textId="72E3AC10" w:rsidR="006E3DF4" w:rsidRPr="00084882" w:rsidRDefault="00C2120C">
            <w:pPr>
              <w:pStyle w:val="Compact"/>
              <w:rPr>
                <w:lang w:val="pl-PL"/>
              </w:rPr>
            </w:pPr>
            <w:r>
              <w:rPr>
                <w:lang w:val="pl-PL"/>
              </w:rPr>
              <w:t>Producent</w:t>
            </w:r>
          </w:p>
        </w:tc>
        <w:tc>
          <w:tcPr>
            <w:tcW w:w="4811" w:type="dxa"/>
          </w:tcPr>
          <w:p w14:paraId="4581C02B" w14:textId="738898A9" w:rsidR="006E3DF4" w:rsidRPr="00465499" w:rsidRDefault="00465499">
            <w:pPr>
              <w:pStyle w:val="Compact"/>
              <w:rPr>
                <w:lang w:val="pl-PL"/>
              </w:rPr>
            </w:pPr>
            <w:proofErr w:type="spellStart"/>
            <w:r w:rsidRPr="00465499">
              <w:rPr>
                <w:lang w:val="pl-PL"/>
              </w:rPr>
              <w:t>Laboratoires</w:t>
            </w:r>
            <w:proofErr w:type="spellEnd"/>
            <w:r w:rsidRPr="00465499"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T</w:t>
            </w:r>
            <w:r w:rsidRPr="00465499">
              <w:rPr>
                <w:lang w:val="pl-PL"/>
              </w:rPr>
              <w:t>héa</w:t>
            </w:r>
            <w:proofErr w:type="spellEnd"/>
          </w:p>
        </w:tc>
      </w:tr>
    </w:tbl>
    <w:p w14:paraId="6C529A7E" w14:textId="693B6E7C" w:rsidR="006E3DF4" w:rsidRPr="00084882" w:rsidRDefault="00453A25">
      <w:pPr>
        <w:pStyle w:val="Tekstpodstawowy"/>
        <w:rPr>
          <w:lang w:val="pl-PL"/>
        </w:rPr>
      </w:pPr>
      <w:r w:rsidRPr="00084882">
        <w:rPr>
          <w:b/>
          <w:bCs/>
          <w:lang w:val="pl-PL"/>
        </w:rPr>
        <w:t>Szanowni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Państwo,</w:t>
      </w:r>
    </w:p>
    <w:p w14:paraId="37FDCC42" w14:textId="7CB8BA35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niniejszym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przekazujemy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pilną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notatkę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bezpieczeństwa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dotyczącą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medycznego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BLEPHADEMODEX.</w:t>
      </w:r>
    </w:p>
    <w:p w14:paraId="1E91DCD1" w14:textId="24206FC1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BLEPHADEMODEX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sterylną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chusteczką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nasączoną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płynem,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przeznaczoną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EC479D">
        <w:rPr>
          <w:lang w:val="pl-PL"/>
        </w:rPr>
        <w:t xml:space="preserve"> </w:t>
      </w:r>
      <w:r w:rsidRPr="00084882">
        <w:rPr>
          <w:lang w:val="pl-PL"/>
        </w:rPr>
        <w:t>codziennej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higieny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powiek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przypadku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zakażenia</w:t>
      </w:r>
      <w:r w:rsidR="00084882" w:rsidRPr="00084882">
        <w:rPr>
          <w:lang w:val="pl-PL"/>
        </w:rPr>
        <w:t xml:space="preserve"> </w:t>
      </w:r>
      <w:r w:rsidR="00084882">
        <w:rPr>
          <w:lang w:val="pl-PL"/>
        </w:rPr>
        <w:t>nużeńcem (</w:t>
      </w:r>
      <w:proofErr w:type="spellStart"/>
      <w:r w:rsidRPr="00084882">
        <w:rPr>
          <w:i/>
          <w:iCs/>
          <w:lang w:val="pl-PL"/>
        </w:rPr>
        <w:t>Demodex</w:t>
      </w:r>
      <w:proofErr w:type="spellEnd"/>
      <w:r w:rsidR="00084882">
        <w:rPr>
          <w:lang w:val="pl-PL"/>
        </w:rPr>
        <w:t>).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Wyrób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przeznaczony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wyłącznie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stosowania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skórę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należy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go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wkładać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bezpośrednio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oka.</w:t>
      </w:r>
    </w:p>
    <w:p w14:paraId="5CD0F36C" w14:textId="25E0D56F" w:rsidR="006E3DF4" w:rsidRPr="00084882" w:rsidRDefault="00453A25">
      <w:pPr>
        <w:pStyle w:val="Tekstpodstawowy"/>
        <w:rPr>
          <w:lang w:val="pl-PL"/>
        </w:rPr>
      </w:pPr>
      <w:r w:rsidRPr="00084882">
        <w:rPr>
          <w:b/>
          <w:bCs/>
          <w:lang w:val="pl-PL"/>
        </w:rPr>
        <w:t>Identyfikacja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problemu</w:t>
      </w:r>
    </w:p>
    <w:p w14:paraId="57176A99" w14:textId="77CD8507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Zaobserwowano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znaczący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utrzymujący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się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wzrost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liczby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zgłoszeń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kilku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krajów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europejskich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dotyczących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niewłaściwego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stosowania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BLEPHADEMODEX.</w:t>
      </w:r>
    </w:p>
    <w:p w14:paraId="38614CCB" w14:textId="74283626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Zgłoszenia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te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dotyczą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przede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wszystkim:</w:t>
      </w:r>
    </w:p>
    <w:p w14:paraId="07CBE017" w14:textId="0899B9B9" w:rsidR="006E3DF4" w:rsidRPr="00084882" w:rsidRDefault="00453A25">
      <w:pPr>
        <w:pStyle w:val="Compact"/>
        <w:numPr>
          <w:ilvl w:val="0"/>
          <w:numId w:val="2"/>
        </w:numPr>
        <w:rPr>
          <w:lang w:val="pl-PL"/>
        </w:rPr>
      </w:pPr>
      <w:r w:rsidRPr="00084882">
        <w:rPr>
          <w:lang w:val="pl-PL"/>
        </w:rPr>
        <w:t>stosowania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poza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przewidzianym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zakresem,</w:t>
      </w:r>
    </w:p>
    <w:p w14:paraId="33608BC0" w14:textId="7913601D" w:rsidR="006E3DF4" w:rsidRPr="00084882" w:rsidRDefault="00453A25">
      <w:pPr>
        <w:pStyle w:val="Compact"/>
        <w:numPr>
          <w:ilvl w:val="0"/>
          <w:numId w:val="2"/>
        </w:numPr>
        <w:rPr>
          <w:lang w:val="pl-PL"/>
        </w:rPr>
      </w:pPr>
      <w:r w:rsidRPr="00084882">
        <w:rPr>
          <w:lang w:val="pl-PL"/>
        </w:rPr>
        <w:t>stosowania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populacji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pediatrycznej,</w:t>
      </w:r>
    </w:p>
    <w:p w14:paraId="40B38527" w14:textId="1782DB9C" w:rsidR="004C255A" w:rsidRPr="00084882" w:rsidRDefault="00453A25" w:rsidP="004C255A">
      <w:pPr>
        <w:pStyle w:val="Compact"/>
        <w:numPr>
          <w:ilvl w:val="0"/>
          <w:numId w:val="2"/>
        </w:numPr>
        <w:rPr>
          <w:lang w:val="pl-PL"/>
        </w:rPr>
      </w:pPr>
      <w:r w:rsidRPr="00084882">
        <w:rPr>
          <w:lang w:val="pl-PL"/>
        </w:rPr>
        <w:t>pomylenia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BLEPHADEMODEX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innym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wyrobem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medycznym,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BLEPHACLEAN</w:t>
      </w:r>
      <w:r w:rsidR="006C096B" w:rsidRPr="00084882">
        <w:rPr>
          <w:lang w:val="pl-PL"/>
        </w:rPr>
        <w:t>.</w:t>
      </w:r>
    </w:p>
    <w:p w14:paraId="7E6D2044" w14:textId="77777777" w:rsidR="006C096B" w:rsidRPr="00084882" w:rsidRDefault="006C096B" w:rsidP="006C096B">
      <w:pPr>
        <w:pStyle w:val="Compact"/>
        <w:ind w:left="720"/>
        <w:rPr>
          <w:lang w:val="pl-PL"/>
        </w:rPr>
      </w:pPr>
    </w:p>
    <w:p w14:paraId="4A4F4AC9" w14:textId="00A0E447" w:rsidR="004C255A" w:rsidRPr="00084882" w:rsidRDefault="004C255A" w:rsidP="001B70C5">
      <w:pPr>
        <w:rPr>
          <w:lang w:val="pl-PL"/>
        </w:rPr>
      </w:pP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dnia</w:t>
      </w:r>
      <w:r w:rsidR="00084882" w:rsidRPr="00084882">
        <w:rPr>
          <w:color w:val="EE0000"/>
          <w:lang w:val="pl-PL"/>
        </w:rPr>
        <w:t xml:space="preserve"> </w:t>
      </w:r>
      <w:r w:rsidR="009501A0">
        <w:rPr>
          <w:lang w:val="pl-PL"/>
        </w:rPr>
        <w:t>20</w:t>
      </w:r>
      <w:r w:rsidR="000E0186" w:rsidRPr="000E0186">
        <w:rPr>
          <w:lang w:val="pl-PL"/>
        </w:rPr>
        <w:t>.07.202</w:t>
      </w:r>
      <w:r w:rsidR="00D132F7" w:rsidRPr="00010C18">
        <w:rPr>
          <w:lang w:val="pl-PL"/>
        </w:rPr>
        <w:t>6</w:t>
      </w:r>
      <w:r w:rsidR="00084882" w:rsidRPr="000E0186">
        <w:rPr>
          <w:lang w:val="pl-PL"/>
        </w:rPr>
        <w:t xml:space="preserve"> </w:t>
      </w:r>
      <w:r w:rsidRPr="00084882">
        <w:rPr>
          <w:lang w:val="pl-PL"/>
        </w:rPr>
        <w:t>Th</w:t>
      </w:r>
      <w:r w:rsidR="001E18A2">
        <w:rPr>
          <w:lang w:val="pl-PL"/>
        </w:rPr>
        <w:t>é</w:t>
      </w:r>
      <w:r w:rsidRPr="00084882">
        <w:rPr>
          <w:lang w:val="pl-PL"/>
        </w:rPr>
        <w:t>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Polska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odnotowała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rynku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polskim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żadnych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zgłoszeń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dotyczących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pomyłkowego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zastosowania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produktu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BLEPHADEMODEX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zamiast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BLEPHACLEAN.</w:t>
      </w:r>
    </w:p>
    <w:p w14:paraId="7A118F79" w14:textId="5DEB8D2E" w:rsidR="006E3DF4" w:rsidRPr="00084882" w:rsidRDefault="00453A25">
      <w:pPr>
        <w:pStyle w:val="FirstParagraph"/>
        <w:rPr>
          <w:lang w:val="pl-PL"/>
        </w:rPr>
      </w:pPr>
      <w:r w:rsidRPr="00084882">
        <w:rPr>
          <w:lang w:val="pl-PL"/>
        </w:rPr>
        <w:lastRenderedPageBreak/>
        <w:t>BLEPHADEMODEX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przeznaczony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codziennej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higieny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powiek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przypadku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zakażenia</w:t>
      </w:r>
      <w:r w:rsidR="00084882" w:rsidRPr="00084882">
        <w:rPr>
          <w:lang w:val="pl-PL"/>
        </w:rPr>
        <w:t xml:space="preserve"> </w:t>
      </w:r>
      <w:proofErr w:type="spellStart"/>
      <w:r w:rsidRPr="001E18A2">
        <w:rPr>
          <w:i/>
          <w:iCs/>
          <w:lang w:val="pl-PL"/>
        </w:rPr>
        <w:t>Demodex</w:t>
      </w:r>
      <w:proofErr w:type="spellEnd"/>
      <w:r w:rsidRPr="00084882">
        <w:rPr>
          <w:lang w:val="pl-PL"/>
        </w:rPr>
        <w:t>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natomiast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BLEPHACLEAN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zalecany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codziennej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higieny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powiek.</w:t>
      </w:r>
    </w:p>
    <w:p w14:paraId="0EBA00C8" w14:textId="373951A5" w:rsidR="006E3DF4" w:rsidRPr="00084882" w:rsidRDefault="00453A25">
      <w:pPr>
        <w:pStyle w:val="Tekstpodstawowy"/>
        <w:rPr>
          <w:lang w:val="pl-PL"/>
        </w:rPr>
      </w:pPr>
      <w:r w:rsidRPr="00084882">
        <w:rPr>
          <w:b/>
          <w:bCs/>
          <w:lang w:val="pl-PL"/>
        </w:rPr>
        <w:t>Potencjalne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ryzyko</w:t>
      </w:r>
    </w:p>
    <w:p w14:paraId="10BCBAD2" w14:textId="7180A1F6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Zgodnie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informacją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przekazaną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wytwórcę,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występuje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bezpośrednie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ryzyko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dla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zdrowia.</w:t>
      </w:r>
      <w:r w:rsidR="00084882" w:rsidRPr="00084882">
        <w:rPr>
          <w:lang w:val="pl-PL"/>
        </w:rPr>
        <w:t xml:space="preserve"> </w:t>
      </w:r>
      <w:r w:rsidRPr="00010C18">
        <w:rPr>
          <w:lang w:val="pl-PL"/>
        </w:rPr>
        <w:t>Działani</w:t>
      </w:r>
      <w:r w:rsidR="00D132F7" w:rsidRPr="00010C18">
        <w:rPr>
          <w:lang w:val="pl-PL"/>
        </w:rPr>
        <w:t>e</w:t>
      </w:r>
      <w:r w:rsidR="00084882" w:rsidRPr="00010C18">
        <w:rPr>
          <w:lang w:val="pl-PL"/>
        </w:rPr>
        <w:t xml:space="preserve"> </w:t>
      </w:r>
      <w:r w:rsidRPr="00010C18">
        <w:rPr>
          <w:lang w:val="pl-PL"/>
        </w:rPr>
        <w:t>ma</w:t>
      </w:r>
      <w:r w:rsidR="00084882" w:rsidRPr="00010C18">
        <w:rPr>
          <w:lang w:val="pl-PL"/>
        </w:rPr>
        <w:t xml:space="preserve"> </w:t>
      </w:r>
      <w:r w:rsidRPr="00010C18">
        <w:rPr>
          <w:lang w:val="pl-PL"/>
        </w:rPr>
        <w:t>charakter</w:t>
      </w:r>
      <w:r w:rsidR="00084882" w:rsidRPr="00010C18">
        <w:rPr>
          <w:lang w:val="pl-PL"/>
        </w:rPr>
        <w:t xml:space="preserve"> </w:t>
      </w:r>
      <w:r w:rsidRPr="00010C18">
        <w:rPr>
          <w:lang w:val="pl-PL"/>
        </w:rPr>
        <w:t>zapobiegawczy.</w:t>
      </w:r>
    </w:p>
    <w:p w14:paraId="3357CCAD" w14:textId="6207729A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Stosowanie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BLEPHADEMODEX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poza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przewidzianym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zakresem,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stosowanie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populacji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pediatrycznej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lub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zastosowanie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BLEPHADEMODEX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zamiast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BLEPHACLEAN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mo</w:t>
      </w:r>
      <w:r w:rsidR="001E18A2">
        <w:rPr>
          <w:lang w:val="pl-PL"/>
        </w:rPr>
        <w:t>gą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prowadzić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do:</w:t>
      </w:r>
    </w:p>
    <w:p w14:paraId="4A53E024" w14:textId="5E8427F1" w:rsidR="006E3DF4" w:rsidRPr="00084882" w:rsidRDefault="00453A25">
      <w:pPr>
        <w:pStyle w:val="Compact"/>
        <w:numPr>
          <w:ilvl w:val="0"/>
          <w:numId w:val="3"/>
        </w:numPr>
        <w:rPr>
          <w:lang w:val="pl-PL"/>
        </w:rPr>
      </w:pPr>
      <w:r w:rsidRPr="00084882">
        <w:rPr>
          <w:lang w:val="pl-PL"/>
        </w:rPr>
        <w:t>nieskuteczności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produktu,</w:t>
      </w:r>
    </w:p>
    <w:p w14:paraId="0ECA9002" w14:textId="39221757" w:rsidR="006E3DF4" w:rsidRPr="00084882" w:rsidRDefault="00453A25">
      <w:pPr>
        <w:pStyle w:val="Compact"/>
        <w:numPr>
          <w:ilvl w:val="0"/>
          <w:numId w:val="3"/>
        </w:numPr>
        <w:rPr>
          <w:lang w:val="pl-PL"/>
        </w:rPr>
      </w:pPr>
      <w:r w:rsidRPr="00084882">
        <w:rPr>
          <w:lang w:val="pl-PL"/>
        </w:rPr>
        <w:t>zakażenia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oczu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i/lub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powiek.</w:t>
      </w:r>
    </w:p>
    <w:p w14:paraId="0C0368C8" w14:textId="2E3BB847" w:rsidR="006E3DF4" w:rsidRPr="00084882" w:rsidRDefault="00453A25">
      <w:pPr>
        <w:pStyle w:val="FirstParagraph"/>
        <w:rPr>
          <w:lang w:val="pl-PL"/>
        </w:rPr>
      </w:pPr>
      <w:r w:rsidRPr="00084882">
        <w:rPr>
          <w:b/>
          <w:bCs/>
          <w:lang w:val="pl-PL"/>
        </w:rPr>
        <w:t>Działania,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które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powinni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podjąć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użytkownicy</w:t>
      </w:r>
    </w:p>
    <w:p w14:paraId="79D78224" w14:textId="3E1D9FD9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Prosimy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podjęcie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następujących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działań:</w:t>
      </w:r>
    </w:p>
    <w:p w14:paraId="5BA895D7" w14:textId="79288548" w:rsidR="006E3DF4" w:rsidRPr="00084882" w:rsidRDefault="00453A25">
      <w:pPr>
        <w:pStyle w:val="Compact"/>
        <w:numPr>
          <w:ilvl w:val="0"/>
          <w:numId w:val="4"/>
        </w:numPr>
        <w:rPr>
          <w:lang w:val="pl-PL"/>
        </w:rPr>
      </w:pPr>
      <w:r w:rsidRPr="00084882">
        <w:rPr>
          <w:lang w:val="pl-PL"/>
        </w:rPr>
        <w:t>Prosimy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zapoznać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się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treścią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niniejszej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bezpieczeństwa.</w:t>
      </w:r>
    </w:p>
    <w:p w14:paraId="6D892F32" w14:textId="24190046" w:rsidR="006E3DF4" w:rsidRPr="00084882" w:rsidRDefault="00453A25">
      <w:pPr>
        <w:pStyle w:val="Compact"/>
        <w:numPr>
          <w:ilvl w:val="0"/>
          <w:numId w:val="4"/>
        </w:numPr>
        <w:rPr>
          <w:lang w:val="pl-PL"/>
        </w:rPr>
      </w:pPr>
      <w:r w:rsidRPr="00084882">
        <w:rPr>
          <w:lang w:val="pl-PL"/>
        </w:rPr>
        <w:t>Prosimy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zapewnić,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aby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BLEPHADEMODEX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był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stosowany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wyłącznie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codziennej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higieny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powiek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przypadkach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zakażenia</w:t>
      </w:r>
      <w:r w:rsidR="00084882" w:rsidRPr="00084882">
        <w:rPr>
          <w:lang w:val="pl-PL"/>
        </w:rPr>
        <w:t xml:space="preserve"> </w:t>
      </w:r>
      <w:r w:rsidR="001E18A2">
        <w:rPr>
          <w:lang w:val="pl-PL"/>
        </w:rPr>
        <w:t>nużeńcem (</w:t>
      </w:r>
      <w:proofErr w:type="spellStart"/>
      <w:r w:rsidRPr="001E18A2">
        <w:rPr>
          <w:i/>
          <w:iCs/>
          <w:lang w:val="pl-PL"/>
        </w:rPr>
        <w:t>Demodex</w:t>
      </w:r>
      <w:proofErr w:type="spellEnd"/>
      <w:r w:rsidR="001E18A2">
        <w:rPr>
          <w:lang w:val="pl-PL"/>
        </w:rPr>
        <w:t>)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oraz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wyłącznie</w:t>
      </w:r>
      <w:r w:rsidR="000E0186">
        <w:rPr>
          <w:lang w:val="pl-PL"/>
        </w:rPr>
        <w:br/>
      </w:r>
      <w:r w:rsidRPr="00084882">
        <w:rPr>
          <w:lang w:val="pl-PL"/>
        </w:rPr>
        <w:t>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pacjentów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dorosłych.</w:t>
      </w:r>
    </w:p>
    <w:p w14:paraId="42E4860D" w14:textId="744519CD" w:rsidR="006E3DF4" w:rsidRPr="00084882" w:rsidRDefault="00453A25">
      <w:pPr>
        <w:pStyle w:val="Compact"/>
        <w:numPr>
          <w:ilvl w:val="0"/>
          <w:numId w:val="4"/>
        </w:numPr>
        <w:rPr>
          <w:lang w:val="pl-PL"/>
        </w:rPr>
      </w:pPr>
      <w:r w:rsidRPr="00084882">
        <w:rPr>
          <w:lang w:val="pl-PL"/>
        </w:rPr>
        <w:t>Prosimy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przekazać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niniejszą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notatkę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wszystkim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osobom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Państwa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organizacji,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które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powinny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zostać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poinformowane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treści.</w:t>
      </w:r>
    </w:p>
    <w:p w14:paraId="53F78859" w14:textId="151EE21B" w:rsidR="006E3DF4" w:rsidRPr="00084882" w:rsidRDefault="00453A25">
      <w:pPr>
        <w:pStyle w:val="Compact"/>
        <w:numPr>
          <w:ilvl w:val="0"/>
          <w:numId w:val="4"/>
        </w:numPr>
        <w:rPr>
          <w:lang w:val="pl-PL"/>
        </w:rPr>
      </w:pPr>
      <w:r w:rsidRPr="00084882">
        <w:rPr>
          <w:lang w:val="pl-PL"/>
        </w:rPr>
        <w:t>Jeżeli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wyrób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został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przekazany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innej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organizacji,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prosimy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przekazanie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niniejszej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również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tej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organizacji.</w:t>
      </w:r>
    </w:p>
    <w:p w14:paraId="5A36A030" w14:textId="36B7FC77" w:rsidR="006E3DF4" w:rsidRPr="00084882" w:rsidRDefault="00453A25">
      <w:pPr>
        <w:pStyle w:val="Compact"/>
        <w:numPr>
          <w:ilvl w:val="0"/>
          <w:numId w:val="4"/>
        </w:numPr>
        <w:rPr>
          <w:lang w:val="pl-PL"/>
        </w:rPr>
      </w:pPr>
      <w:r w:rsidRPr="00084882">
        <w:rPr>
          <w:lang w:val="pl-PL"/>
        </w:rPr>
        <w:t>Prosimy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utrzymywać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świadomość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dotyczącą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niniejszej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wynikających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działań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odpowiedni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okres,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aby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zapewnić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skuteczność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działa</w:t>
      </w:r>
      <w:r w:rsidR="001E18A2">
        <w:rPr>
          <w:lang w:val="pl-PL"/>
        </w:rPr>
        <w:t>ń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zapobiegawcz</w:t>
      </w:r>
      <w:r w:rsidR="001E18A2">
        <w:rPr>
          <w:lang w:val="pl-PL"/>
        </w:rPr>
        <w:t>ych</w:t>
      </w:r>
      <w:r w:rsidRPr="00084882">
        <w:rPr>
          <w:lang w:val="pl-PL"/>
        </w:rPr>
        <w:t>.</w:t>
      </w:r>
    </w:p>
    <w:p w14:paraId="7CAC33D1" w14:textId="32AD2B50" w:rsidR="006E3DF4" w:rsidRPr="00084882" w:rsidRDefault="00453A25">
      <w:pPr>
        <w:pStyle w:val="Compact"/>
        <w:numPr>
          <w:ilvl w:val="0"/>
          <w:numId w:val="4"/>
        </w:numPr>
        <w:rPr>
          <w:lang w:val="pl-PL"/>
        </w:rPr>
      </w:pPr>
      <w:r w:rsidRPr="00084882">
        <w:rPr>
          <w:lang w:val="pl-PL"/>
        </w:rPr>
        <w:t>Prosimy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zgłaszać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wszystkie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incydenty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związane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wyrobem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wytwórcy,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dystrybutora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lub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lokalnego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przedstawiciela</w:t>
      </w:r>
      <w:r w:rsidR="00084882" w:rsidRPr="00084882">
        <w:rPr>
          <w:lang w:val="pl-PL"/>
        </w:rPr>
        <w:t xml:space="preserve"> </w:t>
      </w:r>
      <w:r w:rsidR="000E0186" w:rsidRPr="00084882">
        <w:rPr>
          <w:lang w:val="pl-PL"/>
        </w:rPr>
        <w:t>oraz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jeżeli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dotyczy,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krajowego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organu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właściwego.</w:t>
      </w:r>
    </w:p>
    <w:p w14:paraId="754CC5B8" w14:textId="5444C456" w:rsidR="006E3DF4" w:rsidRPr="00084882" w:rsidRDefault="00453A25">
      <w:pPr>
        <w:pStyle w:val="FirstParagraph"/>
        <w:rPr>
          <w:lang w:val="pl-PL"/>
        </w:rPr>
      </w:pPr>
      <w:r w:rsidRPr="00084882">
        <w:rPr>
          <w:lang w:val="pl-PL"/>
        </w:rPr>
        <w:t>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wymagany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zwrot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wyrobu.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wymagane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poddanie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kwarantannie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ani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jego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zniszczenie.</w:t>
      </w:r>
    </w:p>
    <w:p w14:paraId="1D4A1A28" w14:textId="37603C9A" w:rsidR="006E3DF4" w:rsidRPr="00084882" w:rsidRDefault="00453A25">
      <w:pPr>
        <w:pStyle w:val="Tekstpodstawowy"/>
        <w:rPr>
          <w:lang w:val="pl-PL"/>
        </w:rPr>
      </w:pPr>
      <w:r w:rsidRPr="00084882">
        <w:rPr>
          <w:b/>
          <w:bCs/>
          <w:lang w:val="pl-PL"/>
        </w:rPr>
        <w:t>Działania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podejmowane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przez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wytwórcę</w:t>
      </w:r>
    </w:p>
    <w:p w14:paraId="3EDA432D" w14:textId="5F249BF2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Wytwórca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przekazuje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niniejszą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notatkę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bezpieczeństwa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celu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zwiększenia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świadomości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użytkowników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oraz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ograniczenia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ryzyka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niewłaściwego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stosowania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BLEPHADEMODEX.</w:t>
      </w:r>
    </w:p>
    <w:p w14:paraId="564FFC99" w14:textId="74222032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Wytwórca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przewiduje:</w:t>
      </w:r>
    </w:p>
    <w:p w14:paraId="559A5EF6" w14:textId="09287CE9" w:rsidR="006E3DF4" w:rsidRPr="00084882" w:rsidRDefault="00453A25">
      <w:pPr>
        <w:pStyle w:val="Compact"/>
        <w:numPr>
          <w:ilvl w:val="0"/>
          <w:numId w:val="5"/>
        </w:numPr>
        <w:rPr>
          <w:lang w:val="pl-PL"/>
        </w:rPr>
      </w:pPr>
      <w:r w:rsidRPr="00084882">
        <w:rPr>
          <w:lang w:val="pl-PL"/>
        </w:rPr>
        <w:t>usunięcia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produktu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z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rynku,</w:t>
      </w:r>
    </w:p>
    <w:p w14:paraId="1E39D3FE" w14:textId="6718A6C9" w:rsidR="006E3DF4" w:rsidRPr="00084882" w:rsidRDefault="00453A25">
      <w:pPr>
        <w:pStyle w:val="Compact"/>
        <w:numPr>
          <w:ilvl w:val="0"/>
          <w:numId w:val="5"/>
        </w:numPr>
        <w:rPr>
          <w:lang w:val="pl-PL"/>
        </w:rPr>
      </w:pPr>
      <w:r w:rsidRPr="00084882">
        <w:rPr>
          <w:lang w:val="pl-PL"/>
        </w:rPr>
        <w:t>modyfikacji</w:t>
      </w:r>
      <w:r w:rsidR="00084882" w:rsidRPr="00084882">
        <w:rPr>
          <w:lang w:val="pl-PL"/>
        </w:rPr>
        <w:t xml:space="preserve"> </w:t>
      </w:r>
      <w:r w:rsidR="001E18A2">
        <w:rPr>
          <w:lang w:val="pl-PL"/>
        </w:rPr>
        <w:t>ani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kontroli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wyrobu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miejscu,</w:t>
      </w:r>
    </w:p>
    <w:p w14:paraId="2B867BD6" w14:textId="746EB7C2" w:rsidR="006E3DF4" w:rsidRPr="00084882" w:rsidRDefault="00453A25">
      <w:pPr>
        <w:pStyle w:val="Compact"/>
        <w:numPr>
          <w:ilvl w:val="0"/>
          <w:numId w:val="5"/>
        </w:numPr>
        <w:rPr>
          <w:lang w:val="pl-PL"/>
        </w:rPr>
      </w:pPr>
      <w:r w:rsidRPr="00084882">
        <w:rPr>
          <w:lang w:val="pl-PL"/>
        </w:rPr>
        <w:lastRenderedPageBreak/>
        <w:t>aktualizacji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oprogramowania,</w:t>
      </w:r>
    </w:p>
    <w:p w14:paraId="61497BEF" w14:textId="21240C80" w:rsidR="006E3DF4" w:rsidRPr="00084882" w:rsidRDefault="00453A25">
      <w:pPr>
        <w:pStyle w:val="Compact"/>
        <w:numPr>
          <w:ilvl w:val="0"/>
          <w:numId w:val="5"/>
        </w:numPr>
        <w:rPr>
          <w:lang w:val="pl-PL"/>
        </w:rPr>
      </w:pPr>
      <w:r w:rsidRPr="00084882">
        <w:rPr>
          <w:lang w:val="pl-PL"/>
        </w:rPr>
        <w:t>zmiany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instrukcji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używania</w:t>
      </w:r>
      <w:r w:rsidR="00084882" w:rsidRPr="00084882">
        <w:rPr>
          <w:lang w:val="pl-PL"/>
        </w:rPr>
        <w:t xml:space="preserve"> </w:t>
      </w:r>
      <w:r w:rsidR="001E18A2">
        <w:rPr>
          <w:lang w:val="pl-PL"/>
        </w:rPr>
        <w:t>ani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oznakowania,</w:t>
      </w:r>
    </w:p>
    <w:p w14:paraId="5B246CB2" w14:textId="764143A8" w:rsidR="006E3DF4" w:rsidRPr="00084882" w:rsidRDefault="00453A25">
      <w:pPr>
        <w:pStyle w:val="Compact"/>
        <w:numPr>
          <w:ilvl w:val="0"/>
          <w:numId w:val="5"/>
        </w:numPr>
        <w:rPr>
          <w:lang w:val="pl-PL"/>
        </w:rPr>
      </w:pPr>
      <w:r w:rsidRPr="00084882">
        <w:rPr>
          <w:lang w:val="pl-PL"/>
        </w:rPr>
        <w:t>przekazania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pacjentom</w:t>
      </w:r>
      <w:r w:rsidR="00084882" w:rsidRPr="00084882">
        <w:rPr>
          <w:lang w:val="pl-PL"/>
        </w:rPr>
        <w:t xml:space="preserve"> </w:t>
      </w:r>
      <w:r w:rsidR="001E18A2">
        <w:rPr>
          <w:lang w:val="pl-PL"/>
        </w:rPr>
        <w:t>ani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użytkownikom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nieprofesjonalnym.</w:t>
      </w:r>
    </w:p>
    <w:p w14:paraId="1F6ABF95" w14:textId="1E2B5E03" w:rsidR="006E3DF4" w:rsidRPr="00084882" w:rsidRDefault="00453A25">
      <w:pPr>
        <w:pStyle w:val="FirstParagraph"/>
        <w:rPr>
          <w:lang w:val="pl-PL"/>
        </w:rPr>
      </w:pPr>
      <w:r w:rsidRPr="00084882">
        <w:rPr>
          <w:b/>
          <w:bCs/>
          <w:lang w:val="pl-PL"/>
        </w:rPr>
        <w:t>Informacje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dodatkowe</w:t>
      </w:r>
    </w:p>
    <w:p w14:paraId="5D448594" w14:textId="05CDF683" w:rsidR="006E3DF4" w:rsidRPr="00084882" w:rsidRDefault="00453A25">
      <w:pPr>
        <w:pStyle w:val="Tekstpodstawowy"/>
        <w:rPr>
          <w:lang w:val="pl-PL"/>
        </w:rPr>
      </w:pPr>
      <w:r w:rsidRPr="00084882">
        <w:rPr>
          <w:lang w:val="pl-PL"/>
        </w:rPr>
        <w:t>Niniejsza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bezpieczeństwa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jest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nową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notatką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bezpieczeństwa.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Nie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przewiduje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się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dalszych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działań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następczych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ani</w:t>
      </w:r>
      <w:r w:rsidR="00084882" w:rsidRPr="00084882">
        <w:rPr>
          <w:lang w:val="pl-PL"/>
        </w:rPr>
        <w:t xml:space="preserve"> </w:t>
      </w:r>
      <w:r w:rsidR="001E18A2">
        <w:rPr>
          <w:lang w:val="pl-PL"/>
        </w:rPr>
        <w:t xml:space="preserve">sporządzenia </w:t>
      </w:r>
      <w:r w:rsidRPr="00084882">
        <w:rPr>
          <w:lang w:val="pl-PL"/>
        </w:rPr>
        <w:t>kolejnej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notatki</w:t>
      </w:r>
      <w:r w:rsidR="00084882" w:rsidRPr="00084882">
        <w:rPr>
          <w:lang w:val="pl-PL"/>
        </w:rPr>
        <w:t xml:space="preserve"> </w:t>
      </w:r>
      <w:r w:rsidRPr="00084882">
        <w:rPr>
          <w:lang w:val="pl-PL"/>
        </w:rPr>
        <w:t>bezpieczeństwa.</w:t>
      </w:r>
    </w:p>
    <w:p w14:paraId="28C55F6D" w14:textId="4AF1E6C0" w:rsidR="006E3DF4" w:rsidRPr="00084882" w:rsidRDefault="00453A25">
      <w:pPr>
        <w:pStyle w:val="Tekstpodstawowy"/>
        <w:rPr>
          <w:lang w:val="pl-PL"/>
        </w:rPr>
      </w:pPr>
      <w:r w:rsidRPr="00084882">
        <w:rPr>
          <w:b/>
          <w:bCs/>
          <w:lang w:val="pl-PL"/>
        </w:rPr>
        <w:t>Kontakt</w:t>
      </w:r>
      <w:r w:rsidR="00084882" w:rsidRPr="00084882">
        <w:rPr>
          <w:b/>
          <w:bCs/>
          <w:lang w:val="pl-PL"/>
        </w:rPr>
        <w:t xml:space="preserve"> </w:t>
      </w:r>
      <w:r w:rsidRPr="00084882">
        <w:rPr>
          <w:b/>
          <w:bCs/>
          <w:lang w:val="pl-PL"/>
        </w:rPr>
        <w:t>lokalny</w:t>
      </w:r>
    </w:p>
    <w:p w14:paraId="78E0BE48" w14:textId="77777777" w:rsidR="000E0186" w:rsidRPr="00EC479D" w:rsidRDefault="000E0186">
      <w:pPr>
        <w:pStyle w:val="Tekstpodstawowy"/>
        <w:rPr>
          <w:lang w:val="pl-PL"/>
        </w:rPr>
      </w:pPr>
      <w:r w:rsidRPr="00EC479D">
        <w:rPr>
          <w:lang w:val="pl-PL"/>
        </w:rPr>
        <w:t>Dane kontaktowe</w:t>
      </w:r>
    </w:p>
    <w:p w14:paraId="1D35EF7A" w14:textId="77777777" w:rsidR="00EC479D" w:rsidRDefault="000E0186" w:rsidP="00EC479D">
      <w:pPr>
        <w:pStyle w:val="Tekstpodstawowy"/>
        <w:rPr>
          <w:lang w:val="pl-PL"/>
        </w:rPr>
      </w:pPr>
      <w:proofErr w:type="spellStart"/>
      <w:r w:rsidRPr="00EC479D">
        <w:rPr>
          <w:lang w:val="pl-PL"/>
        </w:rPr>
        <w:t>Thea</w:t>
      </w:r>
      <w:proofErr w:type="spellEnd"/>
      <w:r w:rsidRPr="00EC479D">
        <w:rPr>
          <w:lang w:val="pl-PL"/>
        </w:rPr>
        <w:t xml:space="preserve"> Polska Sp. z o.o.</w:t>
      </w:r>
    </w:p>
    <w:p w14:paraId="46BB61F2" w14:textId="3BDD8566" w:rsidR="00EC479D" w:rsidRPr="00EC479D" w:rsidRDefault="00EC479D" w:rsidP="00EC479D">
      <w:pPr>
        <w:pStyle w:val="Tekstpodstawowy"/>
        <w:rPr>
          <w:lang w:val="pl-PL"/>
        </w:rPr>
      </w:pPr>
      <w:r w:rsidRPr="00EC479D">
        <w:rPr>
          <w:b/>
          <w:bCs/>
          <w:lang w:val="pl-PL"/>
        </w:rPr>
        <w:t>Telefon:</w:t>
      </w:r>
      <w:r w:rsidRPr="00EC479D">
        <w:rPr>
          <w:lang w:val="pl-PL"/>
        </w:rPr>
        <w:br/>
      </w:r>
      <w:proofErr w:type="spellStart"/>
      <w:r w:rsidRPr="00EC479D">
        <w:rPr>
          <w:lang w:val="pl-PL"/>
        </w:rPr>
        <w:t>tel</w:t>
      </w:r>
      <w:proofErr w:type="spellEnd"/>
      <w:r w:rsidRPr="00EC479D">
        <w:rPr>
          <w:lang w:val="pl-PL"/>
        </w:rPr>
        <w:t>: (+48) 22 642 87 77</w:t>
      </w:r>
    </w:p>
    <w:p w14:paraId="1DA955BC" w14:textId="0E9881F9" w:rsidR="00EC479D" w:rsidRDefault="00EC479D" w:rsidP="00EC479D">
      <w:pPr>
        <w:pStyle w:val="Tekstpodstawowy"/>
        <w:rPr>
          <w:lang w:val="pl-PL"/>
        </w:rPr>
      </w:pPr>
      <w:r w:rsidRPr="00EC479D">
        <w:rPr>
          <w:b/>
          <w:bCs/>
          <w:lang w:val="pl-PL"/>
        </w:rPr>
        <w:t>E-mail:</w:t>
      </w:r>
      <w:r w:rsidRPr="00EC479D">
        <w:rPr>
          <w:lang w:val="pl-PL"/>
        </w:rPr>
        <w:br/>
      </w:r>
      <w:r>
        <w:fldChar w:fldCharType="begin"/>
      </w:r>
      <w:r w:rsidRPr="00C2120C">
        <w:rPr>
          <w:lang w:val="pl-PL"/>
        </w:rPr>
        <w:instrText>HYPERLINK "mailto:info.poland@theapharma.com"</w:instrText>
      </w:r>
      <w:r>
        <w:fldChar w:fldCharType="separate"/>
      </w:r>
      <w:r w:rsidRPr="00E92314">
        <w:rPr>
          <w:rStyle w:val="Hipercze"/>
          <w:lang w:val="pl-PL"/>
        </w:rPr>
        <w:t>info.poland@theapharma.com</w:t>
      </w:r>
      <w:r>
        <w:fldChar w:fldCharType="end"/>
      </w:r>
    </w:p>
    <w:p w14:paraId="47B6777C" w14:textId="15955F22" w:rsidR="00EC479D" w:rsidRPr="009501A0" w:rsidRDefault="00EC479D" w:rsidP="00EC479D">
      <w:pPr>
        <w:pStyle w:val="Tekstpodstawowy"/>
        <w:rPr>
          <w:b/>
          <w:bCs/>
          <w:lang w:val="en-GB"/>
        </w:rPr>
      </w:pPr>
      <w:r w:rsidRPr="009501A0">
        <w:rPr>
          <w:b/>
          <w:bCs/>
          <w:lang w:val="en-GB"/>
        </w:rPr>
        <w:t xml:space="preserve">Osoba </w:t>
      </w:r>
      <w:proofErr w:type="spellStart"/>
      <w:r w:rsidRPr="009501A0">
        <w:rPr>
          <w:b/>
          <w:bCs/>
          <w:lang w:val="en-GB"/>
        </w:rPr>
        <w:t>kontaktowa</w:t>
      </w:r>
      <w:proofErr w:type="spellEnd"/>
    </w:p>
    <w:p w14:paraId="31355569" w14:textId="52372901" w:rsidR="00EC479D" w:rsidRPr="00EC479D" w:rsidRDefault="00EC479D" w:rsidP="00EC479D">
      <w:pPr>
        <w:pStyle w:val="Tekstpodstawowy"/>
        <w:rPr>
          <w:lang w:val="en-GB"/>
        </w:rPr>
      </w:pPr>
      <w:r w:rsidRPr="00EC479D">
        <w:rPr>
          <w:lang w:val="en-GB"/>
        </w:rPr>
        <w:t>Anna Brylak</w:t>
      </w:r>
      <w:r w:rsidRPr="00EC479D">
        <w:rPr>
          <w:lang w:val="en-GB"/>
        </w:rPr>
        <w:br/>
      </w:r>
      <w:r w:rsidRPr="00EC479D">
        <w:t>Medical Quality Coordinator / GDP Responsible Person back -up</w:t>
      </w:r>
      <w:r>
        <w:br/>
      </w:r>
      <w:r w:rsidRPr="00EC479D">
        <w:t xml:space="preserve">tel. +48 691 195 579 </w:t>
      </w:r>
      <w:r w:rsidRPr="00EC479D">
        <w:br/>
        <w:t xml:space="preserve">e-mail: </w:t>
      </w:r>
      <w:hyperlink r:id="rId5" w:history="1">
        <w:r w:rsidRPr="00E92314">
          <w:rPr>
            <w:rStyle w:val="Hipercze"/>
          </w:rPr>
          <w:t>Anna.BRYLAK@theapharma.com</w:t>
        </w:r>
      </w:hyperlink>
      <w:r>
        <w:t xml:space="preserve"> </w:t>
      </w:r>
    </w:p>
    <w:p w14:paraId="36EA9836" w14:textId="311FE403" w:rsidR="006E3DF4" w:rsidRPr="00EC479D" w:rsidRDefault="000E0186">
      <w:pPr>
        <w:pStyle w:val="Tekstpodstawowy"/>
        <w:rPr>
          <w:color w:val="EE0000"/>
          <w:lang w:val="en-GB"/>
        </w:rPr>
      </w:pPr>
      <w:r w:rsidRPr="00EC479D">
        <w:rPr>
          <w:color w:val="EE0000"/>
          <w:lang w:val="en-GB"/>
        </w:rPr>
        <w:br/>
      </w:r>
    </w:p>
    <w:p w14:paraId="47229114" w14:textId="38637082" w:rsidR="006E3DF4" w:rsidRPr="00EC479D" w:rsidRDefault="006E3DF4">
      <w:pPr>
        <w:pStyle w:val="Tekstpodstawowy"/>
        <w:rPr>
          <w:color w:val="EE0000"/>
          <w:lang w:val="en-GB"/>
        </w:rPr>
      </w:pPr>
    </w:p>
    <w:sectPr w:rsidR="006E3DF4" w:rsidRPr="00EC479D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6FE89B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3B2EF7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4CAE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082E1E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CCCA17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" w16cid:durableId="393234872">
    <w:abstractNumId w:val="0"/>
  </w:num>
  <w:num w:numId="2" w16cid:durableId="1788890712">
    <w:abstractNumId w:val="1"/>
  </w:num>
  <w:num w:numId="3" w16cid:durableId="2122608465">
    <w:abstractNumId w:val="1"/>
  </w:num>
  <w:num w:numId="4" w16cid:durableId="328023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8286457">
    <w:abstractNumId w:val="1"/>
  </w:num>
  <w:num w:numId="6" w16cid:durableId="886529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59422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 w16cid:durableId="510947570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F4"/>
    <w:rsid w:val="000004D4"/>
    <w:rsid w:val="00010C18"/>
    <w:rsid w:val="00023374"/>
    <w:rsid w:val="00084882"/>
    <w:rsid w:val="000C2F12"/>
    <w:rsid w:val="000E0186"/>
    <w:rsid w:val="001B70C5"/>
    <w:rsid w:val="001E18A2"/>
    <w:rsid w:val="002A0B40"/>
    <w:rsid w:val="00327293"/>
    <w:rsid w:val="00334D7D"/>
    <w:rsid w:val="003E20F3"/>
    <w:rsid w:val="00453A25"/>
    <w:rsid w:val="00465499"/>
    <w:rsid w:val="004C255A"/>
    <w:rsid w:val="00517E30"/>
    <w:rsid w:val="006074E6"/>
    <w:rsid w:val="00657A35"/>
    <w:rsid w:val="00660807"/>
    <w:rsid w:val="006C096B"/>
    <w:rsid w:val="006E3DF4"/>
    <w:rsid w:val="00881E32"/>
    <w:rsid w:val="009028FC"/>
    <w:rsid w:val="009501A0"/>
    <w:rsid w:val="00A73147"/>
    <w:rsid w:val="00B70468"/>
    <w:rsid w:val="00BB2F4C"/>
    <w:rsid w:val="00C2120C"/>
    <w:rsid w:val="00D132F7"/>
    <w:rsid w:val="00D32C9C"/>
    <w:rsid w:val="00E243F9"/>
    <w:rsid w:val="00E53C8F"/>
    <w:rsid w:val="00EC479D"/>
    <w:rsid w:val="00E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AC11"/>
  <w15:docId w15:val="{D0225A06-8FD4-418D-AE97-862F7657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oprawka">
    <w:name w:val="Revision"/>
    <w:hidden/>
    <w:rsid w:val="004C255A"/>
    <w:pPr>
      <w:spacing w:after="0"/>
    </w:pPr>
  </w:style>
  <w:style w:type="paragraph" w:styleId="Akapitzlist">
    <w:name w:val="List Paragraph"/>
    <w:basedOn w:val="Normalny"/>
    <w:rsid w:val="004C255A"/>
    <w:pPr>
      <w:ind w:left="720"/>
      <w:contextualSpacing/>
    </w:pPr>
  </w:style>
  <w:style w:type="paragraph" w:styleId="NormalnyWeb">
    <w:name w:val="Normal (Web)"/>
    <w:basedOn w:val="Normalny"/>
    <w:rsid w:val="00EC479D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BRYLAK@theaphar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Kosmala</dc:creator>
  <cp:keywords/>
  <cp:lastModifiedBy>Alicja Sobolewska</cp:lastModifiedBy>
  <cp:revision>3</cp:revision>
  <dcterms:created xsi:type="dcterms:W3CDTF">2026-07-23T12:54:00Z</dcterms:created>
  <dcterms:modified xsi:type="dcterms:W3CDTF">2026-07-23T12:59:00Z</dcterms:modified>
</cp:coreProperties>
</file>